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E4C" w:rsidRPr="00CA6B07" w:rsidRDefault="00E539EF">
      <w:pPr>
        <w:pStyle w:val="Balk10"/>
        <w:keepNext/>
        <w:keepLines/>
        <w:shd w:val="clear" w:color="auto" w:fill="auto"/>
        <w:spacing w:before="0" w:after="248" w:line="230" w:lineRule="exact"/>
        <w:ind w:left="20"/>
        <w:rPr>
          <w:sz w:val="24"/>
          <w:szCs w:val="24"/>
        </w:rPr>
      </w:pPr>
      <w:bookmarkStart w:id="0" w:name="bookmark0"/>
      <w:r w:rsidRPr="00CA6B07">
        <w:rPr>
          <w:sz w:val="24"/>
          <w:szCs w:val="24"/>
        </w:rPr>
        <w:t>4. REVOCATION OF AN EXISTING POWER OF ATTORNEY</w:t>
      </w:r>
      <w:bookmarkEnd w:id="0"/>
    </w:p>
    <w:p w:rsidR="007F2E4C" w:rsidRPr="00CA6B07" w:rsidRDefault="00E539EF">
      <w:pPr>
        <w:pStyle w:val="Gvdemetni0"/>
        <w:shd w:val="clear" w:color="auto" w:fill="auto"/>
        <w:spacing w:before="0" w:after="298"/>
        <w:ind w:left="20" w:right="220"/>
        <w:rPr>
          <w:sz w:val="24"/>
          <w:szCs w:val="24"/>
        </w:rPr>
      </w:pPr>
      <w:r w:rsidRPr="00CA6B07">
        <w:rPr>
          <w:sz w:val="24"/>
          <w:szCs w:val="24"/>
        </w:rPr>
        <w:t xml:space="preserve">A power of attorney, which was previously issued in any Turkish mission or Turkish notary public, can be revoked at the Turkish Consulate General in </w:t>
      </w:r>
      <w:r w:rsidR="00CA6B07">
        <w:rPr>
          <w:sz w:val="24"/>
          <w:szCs w:val="24"/>
        </w:rPr>
        <w:t>Miami</w:t>
      </w:r>
      <w:r w:rsidRPr="00CA6B07">
        <w:rPr>
          <w:sz w:val="24"/>
          <w:szCs w:val="24"/>
        </w:rPr>
        <w:t>.</w:t>
      </w:r>
    </w:p>
    <w:p w:rsidR="007F2E4C" w:rsidRPr="00CA6B07" w:rsidRDefault="00E539EF">
      <w:pPr>
        <w:pStyle w:val="Gvdemetni0"/>
        <w:shd w:val="clear" w:color="auto" w:fill="auto"/>
        <w:spacing w:before="0" w:after="300" w:line="220" w:lineRule="exact"/>
        <w:ind w:left="20"/>
        <w:rPr>
          <w:sz w:val="24"/>
          <w:szCs w:val="24"/>
        </w:rPr>
      </w:pPr>
      <w:r w:rsidRPr="00CA6B07">
        <w:rPr>
          <w:rStyle w:val="Gvdemetni1"/>
          <w:sz w:val="24"/>
          <w:szCs w:val="24"/>
        </w:rPr>
        <w:t>In-person application is required.</w:t>
      </w:r>
    </w:p>
    <w:p w:rsidR="007F2E4C" w:rsidRPr="00CA6B07" w:rsidRDefault="00E539EF">
      <w:pPr>
        <w:pStyle w:val="Balk10"/>
        <w:keepNext/>
        <w:keepLines/>
        <w:shd w:val="clear" w:color="auto" w:fill="auto"/>
        <w:spacing w:before="0" w:after="263" w:line="230" w:lineRule="exact"/>
        <w:ind w:left="20"/>
        <w:rPr>
          <w:sz w:val="24"/>
          <w:szCs w:val="24"/>
        </w:rPr>
      </w:pPr>
      <w:bookmarkStart w:id="1" w:name="bookmark1"/>
      <w:r w:rsidRPr="00CA6B07">
        <w:rPr>
          <w:sz w:val="24"/>
          <w:szCs w:val="24"/>
        </w:rPr>
        <w:t>Required documents for application:</w:t>
      </w:r>
      <w:bookmarkEnd w:id="1"/>
    </w:p>
    <w:p w:rsidR="007F2E4C" w:rsidRPr="00CA6B07" w:rsidRDefault="00E539EF">
      <w:pPr>
        <w:pStyle w:val="Gvdemetni0"/>
        <w:numPr>
          <w:ilvl w:val="0"/>
          <w:numId w:val="1"/>
        </w:numPr>
        <w:shd w:val="clear" w:color="auto" w:fill="auto"/>
        <w:tabs>
          <w:tab w:val="left" w:pos="369"/>
        </w:tabs>
        <w:spacing w:before="0" w:after="0" w:line="274" w:lineRule="exact"/>
        <w:ind w:left="20"/>
        <w:jc w:val="both"/>
        <w:rPr>
          <w:sz w:val="24"/>
          <w:szCs w:val="24"/>
        </w:rPr>
      </w:pPr>
      <w:r w:rsidRPr="00CA6B07">
        <w:rPr>
          <w:sz w:val="24"/>
          <w:szCs w:val="24"/>
        </w:rPr>
        <w:t>Application form (Encl.)</w:t>
      </w:r>
    </w:p>
    <w:p w:rsidR="007F2E4C" w:rsidRPr="00CA6B07" w:rsidRDefault="00E539EF">
      <w:pPr>
        <w:pStyle w:val="Gvdemetni0"/>
        <w:numPr>
          <w:ilvl w:val="0"/>
          <w:numId w:val="1"/>
        </w:numPr>
        <w:shd w:val="clear" w:color="auto" w:fill="auto"/>
        <w:tabs>
          <w:tab w:val="left" w:pos="369"/>
        </w:tabs>
        <w:spacing w:before="0" w:after="0" w:line="274" w:lineRule="exact"/>
        <w:ind w:left="20"/>
        <w:jc w:val="both"/>
        <w:rPr>
          <w:sz w:val="24"/>
          <w:szCs w:val="24"/>
        </w:rPr>
      </w:pPr>
      <w:r w:rsidRPr="00CA6B07">
        <w:rPr>
          <w:sz w:val="24"/>
          <w:szCs w:val="24"/>
        </w:rPr>
        <w:t>Current Turkish ID.</w:t>
      </w:r>
    </w:p>
    <w:p w:rsidR="007F2E4C" w:rsidRPr="00CA6B07" w:rsidRDefault="00E539EF">
      <w:pPr>
        <w:pStyle w:val="Gvdemetni0"/>
        <w:shd w:val="clear" w:color="auto" w:fill="auto"/>
        <w:spacing w:before="0" w:after="0" w:line="274" w:lineRule="exact"/>
        <w:ind w:left="1040"/>
        <w:jc w:val="both"/>
        <w:rPr>
          <w:sz w:val="24"/>
          <w:szCs w:val="24"/>
        </w:rPr>
      </w:pPr>
      <w:r w:rsidRPr="00CA6B07">
        <w:rPr>
          <w:sz w:val="24"/>
          <w:szCs w:val="24"/>
        </w:rPr>
        <w:t>a. I</w:t>
      </w:r>
      <w:r w:rsidRPr="00CA6B07">
        <w:rPr>
          <w:rStyle w:val="Gvdemetni3"/>
          <w:sz w:val="24"/>
          <w:szCs w:val="24"/>
        </w:rPr>
        <w:t>f you are not Turkish citizen, your valid passport must be submitted.</w:t>
      </w:r>
    </w:p>
    <w:p w:rsidR="007F2E4C" w:rsidRPr="00CA6B07" w:rsidRDefault="00E539EF">
      <w:pPr>
        <w:pStyle w:val="Gvdemetni0"/>
        <w:numPr>
          <w:ilvl w:val="0"/>
          <w:numId w:val="1"/>
        </w:numPr>
        <w:shd w:val="clear" w:color="auto" w:fill="auto"/>
        <w:tabs>
          <w:tab w:val="left" w:pos="369"/>
        </w:tabs>
        <w:spacing w:before="0" w:after="0" w:line="274" w:lineRule="exact"/>
        <w:ind w:left="20"/>
        <w:jc w:val="both"/>
        <w:rPr>
          <w:sz w:val="24"/>
          <w:szCs w:val="24"/>
        </w:rPr>
      </w:pPr>
      <w:r w:rsidRPr="00CA6B07">
        <w:rPr>
          <w:sz w:val="24"/>
          <w:szCs w:val="24"/>
        </w:rPr>
        <w:t>Translator with a valid Turkish ID, if the applicant cannot read and write Turkish.</w:t>
      </w:r>
    </w:p>
    <w:p w:rsidR="007F2E4C" w:rsidRPr="00CA6B07" w:rsidRDefault="00E539EF">
      <w:pPr>
        <w:pStyle w:val="Gvdemetni0"/>
        <w:numPr>
          <w:ilvl w:val="0"/>
          <w:numId w:val="2"/>
        </w:numPr>
        <w:shd w:val="clear" w:color="auto" w:fill="auto"/>
        <w:tabs>
          <w:tab w:val="left" w:pos="1405"/>
        </w:tabs>
        <w:spacing w:before="0" w:after="0" w:line="274" w:lineRule="exact"/>
        <w:ind w:left="1040"/>
        <w:jc w:val="both"/>
        <w:rPr>
          <w:sz w:val="24"/>
          <w:szCs w:val="24"/>
        </w:rPr>
      </w:pPr>
      <w:r w:rsidRPr="00CA6B07">
        <w:rPr>
          <w:sz w:val="24"/>
          <w:szCs w:val="24"/>
        </w:rPr>
        <w:t>Translator can NOT be first degree relatives.</w:t>
      </w:r>
    </w:p>
    <w:p w:rsidR="007F2E4C" w:rsidRPr="00CA6B07" w:rsidRDefault="00E539EF">
      <w:pPr>
        <w:pStyle w:val="Gvdemetni0"/>
        <w:numPr>
          <w:ilvl w:val="0"/>
          <w:numId w:val="2"/>
        </w:numPr>
        <w:shd w:val="clear" w:color="auto" w:fill="auto"/>
        <w:tabs>
          <w:tab w:val="left" w:pos="1405"/>
        </w:tabs>
        <w:spacing w:before="0" w:after="0" w:line="552" w:lineRule="exact"/>
        <w:ind w:left="1040"/>
        <w:jc w:val="both"/>
        <w:rPr>
          <w:sz w:val="24"/>
          <w:szCs w:val="24"/>
        </w:rPr>
      </w:pPr>
      <w:r w:rsidRPr="00CA6B07">
        <w:rPr>
          <w:sz w:val="24"/>
          <w:szCs w:val="24"/>
        </w:rPr>
        <w:t>Translator does not have to be a sworn translator.</w:t>
      </w:r>
    </w:p>
    <w:p w:rsidR="007F2E4C" w:rsidRPr="00CA6B07" w:rsidRDefault="00E539EF">
      <w:pPr>
        <w:pStyle w:val="Balk10"/>
        <w:keepNext/>
        <w:keepLines/>
        <w:shd w:val="clear" w:color="auto" w:fill="auto"/>
        <w:spacing w:before="0" w:after="0" w:line="552" w:lineRule="exact"/>
        <w:ind w:left="20"/>
        <w:jc w:val="both"/>
        <w:rPr>
          <w:sz w:val="24"/>
          <w:szCs w:val="24"/>
        </w:rPr>
      </w:pPr>
      <w:bookmarkStart w:id="2" w:name="bookmark2"/>
      <w:r w:rsidRPr="00CA6B07">
        <w:rPr>
          <w:sz w:val="24"/>
          <w:szCs w:val="24"/>
        </w:rPr>
        <w:t>Fee:</w:t>
      </w:r>
      <w:bookmarkEnd w:id="2"/>
    </w:p>
    <w:p w:rsidR="007F2E4C" w:rsidRPr="00CA6B07" w:rsidRDefault="00853E3A">
      <w:pPr>
        <w:pStyle w:val="Gvdemetni0"/>
        <w:shd w:val="clear" w:color="auto" w:fill="auto"/>
        <w:spacing w:before="0" w:after="0" w:line="552" w:lineRule="exact"/>
        <w:ind w:left="20"/>
        <w:jc w:val="both"/>
        <w:rPr>
          <w:sz w:val="24"/>
          <w:szCs w:val="24"/>
        </w:rPr>
      </w:pPr>
      <w:r w:rsidRPr="00CA6B07">
        <w:rPr>
          <w:sz w:val="24"/>
          <w:szCs w:val="24"/>
        </w:rPr>
        <w:t>$</w:t>
      </w:r>
      <w:r w:rsidR="00AA143F">
        <w:rPr>
          <w:sz w:val="24"/>
          <w:szCs w:val="24"/>
        </w:rPr>
        <w:t>65</w:t>
      </w:r>
      <w:r w:rsidR="00E539EF" w:rsidRPr="00CA6B07">
        <w:rPr>
          <w:sz w:val="24"/>
          <w:szCs w:val="24"/>
        </w:rPr>
        <w:t>.</w:t>
      </w:r>
      <w:r w:rsidR="00AA143F">
        <w:rPr>
          <w:sz w:val="24"/>
          <w:szCs w:val="24"/>
        </w:rPr>
        <w:t>33</w:t>
      </w:r>
      <w:bookmarkStart w:id="3" w:name="_GoBack"/>
      <w:bookmarkEnd w:id="3"/>
      <w:r w:rsidR="00E539EF" w:rsidRPr="00CA6B07">
        <w:rPr>
          <w:sz w:val="24"/>
          <w:szCs w:val="24"/>
        </w:rPr>
        <w:t xml:space="preserve"> </w:t>
      </w:r>
    </w:p>
    <w:p w:rsidR="007F2E4C" w:rsidRPr="00CA6B07" w:rsidRDefault="00E539EF">
      <w:pPr>
        <w:pStyle w:val="Balk10"/>
        <w:keepNext/>
        <w:keepLines/>
        <w:shd w:val="clear" w:color="auto" w:fill="auto"/>
        <w:spacing w:before="0" w:after="0" w:line="552" w:lineRule="exact"/>
        <w:ind w:left="20"/>
        <w:jc w:val="both"/>
        <w:rPr>
          <w:sz w:val="24"/>
          <w:szCs w:val="24"/>
        </w:rPr>
      </w:pPr>
      <w:bookmarkStart w:id="4" w:name="bookmark3"/>
      <w:r w:rsidRPr="00CA6B07">
        <w:rPr>
          <w:sz w:val="24"/>
          <w:szCs w:val="24"/>
        </w:rPr>
        <w:t>Application method:</w:t>
      </w:r>
      <w:bookmarkEnd w:id="4"/>
    </w:p>
    <w:p w:rsidR="00CC0BC9" w:rsidRDefault="00CC0BC9" w:rsidP="00CC0BC9">
      <w:pPr>
        <w:pStyle w:val="Gvdemetni0"/>
        <w:shd w:val="clear" w:color="auto" w:fill="auto"/>
        <w:spacing w:line="240" w:lineRule="auto"/>
        <w:ind w:left="20" w:right="40"/>
        <w:rPr>
          <w:sz w:val="24"/>
          <w:szCs w:val="24"/>
        </w:rPr>
      </w:pPr>
      <w:r w:rsidRPr="0072330A">
        <w:rPr>
          <w:sz w:val="24"/>
          <w:szCs w:val="24"/>
        </w:rPr>
        <w:t>If the applicant is Turkish citizen</w:t>
      </w:r>
      <w:r>
        <w:rPr>
          <w:sz w:val="24"/>
          <w:szCs w:val="24"/>
        </w:rPr>
        <w:t>/</w:t>
      </w:r>
      <w:r w:rsidRPr="00FB0253">
        <w:rPr>
          <w:sz w:val="24"/>
          <w:szCs w:val="24"/>
        </w:rPr>
        <w:t xml:space="preserve"> </w:t>
      </w:r>
      <w:r w:rsidRPr="0072330A">
        <w:rPr>
          <w:sz w:val="24"/>
          <w:szCs w:val="24"/>
        </w:rPr>
        <w:t>foreigner, s/he must have an appointment</w:t>
      </w:r>
      <w:r>
        <w:rPr>
          <w:sz w:val="24"/>
          <w:szCs w:val="24"/>
        </w:rPr>
        <w:t>. (</w:t>
      </w:r>
      <w:r w:rsidR="007048E0">
        <w:rPr>
          <w:sz w:val="24"/>
          <w:szCs w:val="24"/>
        </w:rPr>
        <w:t xml:space="preserve">By </w:t>
      </w:r>
      <w:proofErr w:type="gramStart"/>
      <w:r w:rsidR="007048E0">
        <w:rPr>
          <w:sz w:val="24"/>
          <w:szCs w:val="24"/>
        </w:rPr>
        <w:t>email :</w:t>
      </w:r>
      <w:proofErr w:type="gramEnd"/>
      <w:r w:rsidR="007048E0">
        <w:rPr>
          <w:sz w:val="24"/>
          <w:szCs w:val="24"/>
        </w:rPr>
        <w:t xml:space="preserve"> </w:t>
      </w:r>
      <w:hyperlink r:id="rId7" w:history="1">
        <w:r w:rsidR="007048E0" w:rsidRPr="00834B51">
          <w:rPr>
            <w:rStyle w:val="Hyperlink"/>
            <w:sz w:val="24"/>
            <w:szCs w:val="24"/>
          </w:rPr>
          <w:t>consulate.miami@mfa.gov.tr</w:t>
        </w:r>
      </w:hyperlink>
      <w:r>
        <w:rPr>
          <w:sz w:val="24"/>
          <w:szCs w:val="24"/>
        </w:rPr>
        <w:t>)</w:t>
      </w:r>
      <w:r w:rsidRPr="0072330A">
        <w:rPr>
          <w:sz w:val="24"/>
          <w:szCs w:val="24"/>
        </w:rPr>
        <w:t xml:space="preserve"> </w:t>
      </w:r>
    </w:p>
    <w:p w:rsidR="007F2E4C" w:rsidRPr="00CA6B07" w:rsidRDefault="00E539EF">
      <w:pPr>
        <w:pStyle w:val="Gvdemetni0"/>
        <w:shd w:val="clear" w:color="auto" w:fill="auto"/>
        <w:spacing w:before="0" w:after="0" w:line="552" w:lineRule="exact"/>
        <w:ind w:left="20" w:right="220"/>
        <w:rPr>
          <w:sz w:val="24"/>
          <w:szCs w:val="24"/>
        </w:rPr>
      </w:pPr>
      <w:r w:rsidRPr="00CA6B07">
        <w:rPr>
          <w:rStyle w:val="Gvdemetni115ptKaln"/>
          <w:sz w:val="24"/>
          <w:szCs w:val="24"/>
        </w:rPr>
        <w:t>Additional information:</w:t>
      </w:r>
    </w:p>
    <w:p w:rsidR="007F2E4C" w:rsidRPr="00CA6B07" w:rsidRDefault="00E539EF">
      <w:pPr>
        <w:pStyle w:val="Gvdemetni0"/>
        <w:shd w:val="clear" w:color="auto" w:fill="auto"/>
        <w:spacing w:before="0" w:after="275" w:line="274" w:lineRule="exact"/>
        <w:ind w:left="20" w:right="220"/>
        <w:rPr>
          <w:sz w:val="24"/>
          <w:szCs w:val="24"/>
        </w:rPr>
      </w:pPr>
      <w:r w:rsidRPr="00CA6B07">
        <w:rPr>
          <w:sz w:val="24"/>
          <w:szCs w:val="24"/>
        </w:rPr>
        <w:t xml:space="preserve">Application fee can only be paid in cash or money order payable to the Turkish Consulate General in </w:t>
      </w:r>
      <w:r w:rsidR="00CC0BC9">
        <w:rPr>
          <w:sz w:val="24"/>
          <w:szCs w:val="24"/>
        </w:rPr>
        <w:t>Miami</w:t>
      </w:r>
      <w:r w:rsidRPr="00CA6B07">
        <w:rPr>
          <w:sz w:val="24"/>
          <w:szCs w:val="24"/>
        </w:rPr>
        <w:t>. Personal checks are not accepted.</w:t>
      </w:r>
    </w:p>
    <w:p w:rsidR="007F2E4C" w:rsidRPr="00CA6B07" w:rsidRDefault="00E539EF">
      <w:pPr>
        <w:pStyle w:val="Balk10"/>
        <w:keepNext/>
        <w:keepLines/>
        <w:shd w:val="clear" w:color="auto" w:fill="auto"/>
        <w:spacing w:before="0" w:after="268" w:line="230" w:lineRule="exact"/>
        <w:ind w:left="20"/>
        <w:jc w:val="both"/>
        <w:rPr>
          <w:sz w:val="24"/>
          <w:szCs w:val="24"/>
        </w:rPr>
      </w:pPr>
      <w:bookmarkStart w:id="5" w:name="bookmark4"/>
      <w:r w:rsidRPr="00CA6B07">
        <w:rPr>
          <w:sz w:val="24"/>
          <w:szCs w:val="24"/>
        </w:rPr>
        <w:t>Important Note:</w:t>
      </w:r>
      <w:bookmarkEnd w:id="5"/>
    </w:p>
    <w:p w:rsidR="007F2E4C" w:rsidRPr="00CA6B07" w:rsidRDefault="00E539EF" w:rsidP="00CC0BC9">
      <w:pPr>
        <w:pStyle w:val="Gvdemetni0"/>
        <w:shd w:val="clear" w:color="auto" w:fill="auto"/>
        <w:spacing w:before="0" w:after="4490" w:line="274" w:lineRule="exact"/>
        <w:ind w:left="20" w:right="220"/>
        <w:jc w:val="both"/>
        <w:rPr>
          <w:sz w:val="24"/>
          <w:szCs w:val="24"/>
        </w:rPr>
      </w:pPr>
      <w:r w:rsidRPr="00CA6B07">
        <w:rPr>
          <w:sz w:val="24"/>
          <w:szCs w:val="24"/>
        </w:rPr>
        <w:t>It is not possible for the Turkish Consulate General to intervene the process and obtain information through phone calls. The applicant is obliged to know the context of the power of attorney and provide any necessary information to the consular officer.</w:t>
      </w:r>
      <w:r w:rsidRPr="00CA6B07">
        <w:rPr>
          <w:sz w:val="24"/>
          <w:szCs w:val="24"/>
        </w:rPr>
        <w:br w:type="page"/>
      </w:r>
    </w:p>
    <w:p w:rsidR="007F2E4C" w:rsidRPr="00CA6B07" w:rsidRDefault="00E539EF">
      <w:pPr>
        <w:pStyle w:val="Gvdemetni51"/>
        <w:shd w:val="clear" w:color="auto" w:fill="auto"/>
        <w:spacing w:after="249" w:line="150" w:lineRule="exact"/>
        <w:ind w:left="180"/>
        <w:rPr>
          <w:sz w:val="24"/>
          <w:szCs w:val="24"/>
        </w:rPr>
      </w:pPr>
      <w:r w:rsidRPr="00CA6B07">
        <w:rPr>
          <w:sz w:val="24"/>
          <w:szCs w:val="24"/>
        </w:rPr>
        <w:lastRenderedPageBreak/>
        <w:t>Revocation Petition</w:t>
      </w:r>
    </w:p>
    <w:p w:rsidR="007F2E4C" w:rsidRPr="00CA6B07" w:rsidRDefault="00E539EF">
      <w:pPr>
        <w:pStyle w:val="Gvdemetni61"/>
        <w:shd w:val="clear" w:color="auto" w:fill="auto"/>
        <w:spacing w:before="0" w:after="0" w:line="230" w:lineRule="exact"/>
        <w:ind w:left="180"/>
        <w:rPr>
          <w:sz w:val="24"/>
          <w:szCs w:val="24"/>
        </w:rPr>
      </w:pPr>
      <w:r w:rsidRPr="00CA6B07">
        <w:rPr>
          <w:sz w:val="24"/>
          <w:szCs w:val="24"/>
        </w:rPr>
        <w:t xml:space="preserve">To TURKISH CONSULATE GENERAL IN </w:t>
      </w:r>
      <w:r w:rsidR="00CC0BC9">
        <w:rPr>
          <w:sz w:val="24"/>
          <w:szCs w:val="24"/>
        </w:rPr>
        <w:t>MIAMI</w:t>
      </w:r>
    </w:p>
    <w:p w:rsidR="007F2E4C" w:rsidRPr="00CA6B07" w:rsidRDefault="00E539EF">
      <w:pPr>
        <w:pStyle w:val="Gvdemetni0"/>
        <w:shd w:val="clear" w:color="auto" w:fill="auto"/>
        <w:spacing w:before="0" w:after="0" w:line="581" w:lineRule="exact"/>
        <w:ind w:left="1020"/>
        <w:rPr>
          <w:sz w:val="24"/>
          <w:szCs w:val="24"/>
        </w:rPr>
      </w:pPr>
      <w:r w:rsidRPr="00CA6B07">
        <w:rPr>
          <w:sz w:val="24"/>
          <w:szCs w:val="24"/>
        </w:rPr>
        <w:t>I would like to revoke the power of attorney.</w:t>
      </w:r>
    </w:p>
    <w:p w:rsidR="007F2E4C" w:rsidRPr="00CA6B07" w:rsidRDefault="00E539EF">
      <w:pPr>
        <w:pStyle w:val="Gvdemetni0"/>
        <w:shd w:val="clear" w:color="auto" w:fill="auto"/>
        <w:spacing w:before="0" w:after="0" w:line="581" w:lineRule="exact"/>
        <w:ind w:left="5280"/>
        <w:rPr>
          <w:sz w:val="24"/>
          <w:szCs w:val="24"/>
        </w:rPr>
      </w:pPr>
      <w:r w:rsidRPr="00CA6B07">
        <w:rPr>
          <w:sz w:val="24"/>
          <w:szCs w:val="24"/>
        </w:rPr>
        <w:t>Signature:</w:t>
      </w:r>
    </w:p>
    <w:p w:rsidR="007F2E4C" w:rsidRPr="00CA6B07" w:rsidRDefault="00E539EF">
      <w:pPr>
        <w:pStyle w:val="Gvdemetni0"/>
        <w:shd w:val="clear" w:color="auto" w:fill="auto"/>
        <w:spacing w:before="0" w:after="184" w:line="581" w:lineRule="exact"/>
        <w:ind w:left="5280"/>
        <w:rPr>
          <w:sz w:val="24"/>
          <w:szCs w:val="24"/>
        </w:rPr>
      </w:pPr>
      <w:r w:rsidRPr="00CA6B07">
        <w:rPr>
          <w:sz w:val="24"/>
          <w:szCs w:val="24"/>
        </w:rPr>
        <w:t>Date: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94"/>
        <w:gridCol w:w="6317"/>
      </w:tblGrid>
      <w:tr w:rsidR="007F2E4C" w:rsidRPr="00CA6B07">
        <w:trPr>
          <w:trHeight w:hRule="exact" w:val="581"/>
          <w:jc w:val="center"/>
        </w:trPr>
        <w:tc>
          <w:tcPr>
            <w:tcW w:w="9711" w:type="dxa"/>
            <w:gridSpan w:val="2"/>
            <w:tcBorders>
              <w:top w:val="single" w:sz="4" w:space="0" w:color="auto"/>
              <w:left w:val="single" w:sz="4" w:space="0" w:color="auto"/>
              <w:right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230" w:lineRule="exact"/>
              <w:jc w:val="center"/>
              <w:rPr>
                <w:sz w:val="24"/>
                <w:szCs w:val="24"/>
              </w:rPr>
            </w:pPr>
            <w:r w:rsidRPr="00CA6B07">
              <w:rPr>
                <w:rStyle w:val="Gvdemetni115ptKaln0"/>
                <w:sz w:val="24"/>
                <w:szCs w:val="24"/>
              </w:rPr>
              <w:t>APPLICANT’S</w:t>
            </w:r>
          </w:p>
        </w:tc>
      </w:tr>
      <w:tr w:rsidR="007F2E4C" w:rsidRPr="00CA6B07">
        <w:trPr>
          <w:trHeight w:hRule="exact" w:val="552"/>
          <w:jc w:val="center"/>
        </w:trPr>
        <w:tc>
          <w:tcPr>
            <w:tcW w:w="3394" w:type="dxa"/>
            <w:tcBorders>
              <w:top w:val="single" w:sz="4" w:space="0" w:color="auto"/>
              <w:left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220" w:lineRule="exact"/>
              <w:ind w:left="300"/>
              <w:rPr>
                <w:sz w:val="24"/>
                <w:szCs w:val="24"/>
              </w:rPr>
            </w:pPr>
            <w:r w:rsidRPr="00CA6B07">
              <w:rPr>
                <w:rStyle w:val="Gvdemetni7"/>
                <w:sz w:val="24"/>
                <w:szCs w:val="24"/>
              </w:rPr>
              <w:t>Name - Surname</w:t>
            </w:r>
          </w:p>
        </w:tc>
        <w:tc>
          <w:tcPr>
            <w:tcW w:w="6317" w:type="dxa"/>
            <w:tcBorders>
              <w:top w:val="single" w:sz="4" w:space="0" w:color="auto"/>
              <w:left w:val="single" w:sz="4" w:space="0" w:color="auto"/>
              <w:right w:val="single" w:sz="4" w:space="0" w:color="auto"/>
            </w:tcBorders>
            <w:shd w:val="clear" w:color="auto" w:fill="FFFFFF"/>
          </w:tcPr>
          <w:p w:rsidR="007F2E4C" w:rsidRPr="00CA6B07" w:rsidRDefault="007F2E4C">
            <w:pPr>
              <w:framePr w:w="9710" w:wrap="notBeside" w:vAnchor="text" w:hAnchor="text" w:xAlign="center" w:y="1"/>
            </w:pPr>
          </w:p>
        </w:tc>
      </w:tr>
      <w:tr w:rsidR="007F2E4C" w:rsidRPr="00CA6B07">
        <w:trPr>
          <w:trHeight w:hRule="exact" w:val="1819"/>
          <w:jc w:val="center"/>
        </w:trPr>
        <w:tc>
          <w:tcPr>
            <w:tcW w:w="3394" w:type="dxa"/>
            <w:tcBorders>
              <w:top w:val="single" w:sz="4" w:space="0" w:color="auto"/>
              <w:left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1258" w:lineRule="exact"/>
              <w:ind w:left="300"/>
              <w:rPr>
                <w:sz w:val="24"/>
                <w:szCs w:val="24"/>
              </w:rPr>
            </w:pPr>
            <w:r w:rsidRPr="00CA6B07">
              <w:rPr>
                <w:rStyle w:val="Gvdemetni7"/>
                <w:sz w:val="24"/>
                <w:szCs w:val="24"/>
              </w:rPr>
              <w:t>Address in the US: Move-in date</w:t>
            </w:r>
          </w:p>
        </w:tc>
        <w:tc>
          <w:tcPr>
            <w:tcW w:w="6317" w:type="dxa"/>
            <w:tcBorders>
              <w:top w:val="single" w:sz="4" w:space="0" w:color="auto"/>
              <w:left w:val="single" w:sz="4" w:space="0" w:color="auto"/>
              <w:right w:val="single" w:sz="4" w:space="0" w:color="auto"/>
            </w:tcBorders>
            <w:shd w:val="clear" w:color="auto" w:fill="FFFFFF"/>
          </w:tcPr>
          <w:p w:rsidR="007F2E4C" w:rsidRPr="00CA6B07" w:rsidRDefault="007F2E4C">
            <w:pPr>
              <w:framePr w:w="9710" w:wrap="notBeside" w:vAnchor="text" w:hAnchor="text" w:xAlign="center" w:y="1"/>
            </w:pPr>
          </w:p>
        </w:tc>
      </w:tr>
      <w:tr w:rsidR="007F2E4C" w:rsidRPr="00CA6B07">
        <w:trPr>
          <w:trHeight w:hRule="exact" w:val="552"/>
          <w:jc w:val="center"/>
        </w:trPr>
        <w:tc>
          <w:tcPr>
            <w:tcW w:w="3394" w:type="dxa"/>
            <w:tcBorders>
              <w:top w:val="single" w:sz="4" w:space="0" w:color="auto"/>
              <w:left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220" w:lineRule="exact"/>
              <w:ind w:left="300"/>
              <w:rPr>
                <w:sz w:val="24"/>
                <w:szCs w:val="24"/>
              </w:rPr>
            </w:pPr>
            <w:r w:rsidRPr="00CA6B07">
              <w:rPr>
                <w:rStyle w:val="Gvdemetni7"/>
                <w:sz w:val="24"/>
                <w:szCs w:val="24"/>
              </w:rPr>
              <w:t>Home phone</w:t>
            </w:r>
          </w:p>
        </w:tc>
        <w:tc>
          <w:tcPr>
            <w:tcW w:w="6317" w:type="dxa"/>
            <w:tcBorders>
              <w:top w:val="single" w:sz="4" w:space="0" w:color="auto"/>
              <w:left w:val="single" w:sz="4" w:space="0" w:color="auto"/>
              <w:right w:val="single" w:sz="4" w:space="0" w:color="auto"/>
            </w:tcBorders>
            <w:shd w:val="clear" w:color="auto" w:fill="FFFFFF"/>
          </w:tcPr>
          <w:p w:rsidR="007F2E4C" w:rsidRPr="00CA6B07" w:rsidRDefault="007F2E4C">
            <w:pPr>
              <w:framePr w:w="9710" w:wrap="notBeside" w:vAnchor="text" w:hAnchor="text" w:xAlign="center" w:y="1"/>
            </w:pPr>
          </w:p>
        </w:tc>
      </w:tr>
      <w:tr w:rsidR="007F2E4C" w:rsidRPr="00CA6B07">
        <w:trPr>
          <w:trHeight w:hRule="exact" w:val="557"/>
          <w:jc w:val="center"/>
        </w:trPr>
        <w:tc>
          <w:tcPr>
            <w:tcW w:w="3394" w:type="dxa"/>
            <w:tcBorders>
              <w:top w:val="single" w:sz="4" w:space="0" w:color="auto"/>
              <w:left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220" w:lineRule="exact"/>
              <w:ind w:left="300"/>
              <w:rPr>
                <w:sz w:val="24"/>
                <w:szCs w:val="24"/>
              </w:rPr>
            </w:pPr>
            <w:r w:rsidRPr="00CA6B07">
              <w:rPr>
                <w:rStyle w:val="Gvdemetni7"/>
                <w:sz w:val="24"/>
                <w:szCs w:val="24"/>
              </w:rPr>
              <w:t>Work phone</w:t>
            </w:r>
          </w:p>
        </w:tc>
        <w:tc>
          <w:tcPr>
            <w:tcW w:w="6317" w:type="dxa"/>
            <w:tcBorders>
              <w:top w:val="single" w:sz="4" w:space="0" w:color="auto"/>
              <w:left w:val="single" w:sz="4" w:space="0" w:color="auto"/>
              <w:right w:val="single" w:sz="4" w:space="0" w:color="auto"/>
            </w:tcBorders>
            <w:shd w:val="clear" w:color="auto" w:fill="FFFFFF"/>
          </w:tcPr>
          <w:p w:rsidR="007F2E4C" w:rsidRPr="00CA6B07" w:rsidRDefault="007F2E4C">
            <w:pPr>
              <w:framePr w:w="9710" w:wrap="notBeside" w:vAnchor="text" w:hAnchor="text" w:xAlign="center" w:y="1"/>
            </w:pPr>
          </w:p>
        </w:tc>
      </w:tr>
      <w:tr w:rsidR="007F2E4C" w:rsidRPr="00CA6B07">
        <w:trPr>
          <w:trHeight w:hRule="exact" w:val="557"/>
          <w:jc w:val="center"/>
        </w:trPr>
        <w:tc>
          <w:tcPr>
            <w:tcW w:w="3394" w:type="dxa"/>
            <w:tcBorders>
              <w:top w:val="single" w:sz="4" w:space="0" w:color="auto"/>
              <w:left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220" w:lineRule="exact"/>
              <w:ind w:left="300"/>
              <w:rPr>
                <w:sz w:val="24"/>
                <w:szCs w:val="24"/>
              </w:rPr>
            </w:pPr>
            <w:r w:rsidRPr="00CA6B07">
              <w:rPr>
                <w:rStyle w:val="Gvdemetni7"/>
                <w:sz w:val="24"/>
                <w:szCs w:val="24"/>
              </w:rPr>
              <w:t>Mobile phone</w:t>
            </w:r>
          </w:p>
        </w:tc>
        <w:tc>
          <w:tcPr>
            <w:tcW w:w="6317" w:type="dxa"/>
            <w:tcBorders>
              <w:top w:val="single" w:sz="4" w:space="0" w:color="auto"/>
              <w:left w:val="single" w:sz="4" w:space="0" w:color="auto"/>
              <w:right w:val="single" w:sz="4" w:space="0" w:color="auto"/>
            </w:tcBorders>
            <w:shd w:val="clear" w:color="auto" w:fill="FFFFFF"/>
          </w:tcPr>
          <w:p w:rsidR="007F2E4C" w:rsidRPr="00CA6B07" w:rsidRDefault="007F2E4C">
            <w:pPr>
              <w:framePr w:w="9710" w:wrap="notBeside" w:vAnchor="text" w:hAnchor="text" w:xAlign="center" w:y="1"/>
            </w:pPr>
          </w:p>
        </w:tc>
      </w:tr>
      <w:tr w:rsidR="007F2E4C" w:rsidRPr="00CA6B07">
        <w:trPr>
          <w:trHeight w:hRule="exact" w:val="581"/>
          <w:jc w:val="center"/>
        </w:trPr>
        <w:tc>
          <w:tcPr>
            <w:tcW w:w="3394" w:type="dxa"/>
            <w:tcBorders>
              <w:top w:val="single" w:sz="4" w:space="0" w:color="auto"/>
              <w:left w:val="single" w:sz="4" w:space="0" w:color="auto"/>
              <w:bottom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220" w:lineRule="exact"/>
              <w:ind w:left="300"/>
              <w:rPr>
                <w:sz w:val="24"/>
                <w:szCs w:val="24"/>
              </w:rPr>
            </w:pPr>
            <w:r w:rsidRPr="00CA6B07">
              <w:rPr>
                <w:rStyle w:val="Gvdemetni7"/>
                <w:sz w:val="24"/>
                <w:szCs w:val="24"/>
              </w:rPr>
              <w:t>E- mail address</w:t>
            </w:r>
          </w:p>
        </w:tc>
        <w:tc>
          <w:tcPr>
            <w:tcW w:w="6317" w:type="dxa"/>
            <w:tcBorders>
              <w:top w:val="single" w:sz="4" w:space="0" w:color="auto"/>
              <w:left w:val="single" w:sz="4" w:space="0" w:color="auto"/>
              <w:bottom w:val="single" w:sz="4" w:space="0" w:color="auto"/>
              <w:right w:val="single" w:sz="4" w:space="0" w:color="auto"/>
            </w:tcBorders>
            <w:shd w:val="clear" w:color="auto" w:fill="FFFFFF"/>
          </w:tcPr>
          <w:p w:rsidR="007F2E4C" w:rsidRPr="00CA6B07" w:rsidRDefault="007F2E4C">
            <w:pPr>
              <w:framePr w:w="9710" w:wrap="notBeside" w:vAnchor="text" w:hAnchor="text" w:xAlign="center" w:y="1"/>
            </w:pPr>
          </w:p>
        </w:tc>
      </w:tr>
    </w:tbl>
    <w:p w:rsidR="007F2E4C" w:rsidRPr="00CA6B07" w:rsidRDefault="007F2E4C">
      <w:pPr>
        <w:spacing w:line="78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78"/>
        <w:gridCol w:w="4733"/>
      </w:tblGrid>
      <w:tr w:rsidR="007F2E4C" w:rsidRPr="00CA6B07">
        <w:trPr>
          <w:trHeight w:hRule="exact" w:val="581"/>
          <w:jc w:val="center"/>
        </w:trPr>
        <w:tc>
          <w:tcPr>
            <w:tcW w:w="9711" w:type="dxa"/>
            <w:gridSpan w:val="2"/>
            <w:tcBorders>
              <w:top w:val="single" w:sz="4" w:space="0" w:color="auto"/>
              <w:left w:val="single" w:sz="4" w:space="0" w:color="auto"/>
              <w:right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230" w:lineRule="exact"/>
              <w:jc w:val="center"/>
              <w:rPr>
                <w:sz w:val="24"/>
                <w:szCs w:val="24"/>
              </w:rPr>
            </w:pPr>
            <w:r w:rsidRPr="00CA6B07">
              <w:rPr>
                <w:rStyle w:val="Gvdemetni115ptKaln0"/>
                <w:sz w:val="24"/>
                <w:szCs w:val="24"/>
              </w:rPr>
              <w:t>INFORMATION OF POWER OF ATTORNEY</w:t>
            </w:r>
          </w:p>
        </w:tc>
      </w:tr>
      <w:tr w:rsidR="007F2E4C" w:rsidRPr="00CA6B07">
        <w:trPr>
          <w:trHeight w:hRule="exact" w:val="854"/>
          <w:jc w:val="center"/>
        </w:trPr>
        <w:tc>
          <w:tcPr>
            <w:tcW w:w="4978" w:type="dxa"/>
            <w:tcBorders>
              <w:top w:val="single" w:sz="4" w:space="0" w:color="auto"/>
              <w:left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302" w:lineRule="exact"/>
              <w:ind w:left="300"/>
              <w:rPr>
                <w:sz w:val="24"/>
                <w:szCs w:val="24"/>
              </w:rPr>
            </w:pPr>
            <w:r w:rsidRPr="00CA6B07">
              <w:rPr>
                <w:rStyle w:val="Gvdemetni7"/>
                <w:sz w:val="24"/>
                <w:szCs w:val="24"/>
              </w:rPr>
              <w:t>Place of issue of the power of attorney (Consulate General/Embassy/Notary Public)</w:t>
            </w:r>
          </w:p>
        </w:tc>
        <w:tc>
          <w:tcPr>
            <w:tcW w:w="4733" w:type="dxa"/>
            <w:tcBorders>
              <w:top w:val="single" w:sz="4" w:space="0" w:color="auto"/>
              <w:left w:val="single" w:sz="4" w:space="0" w:color="auto"/>
              <w:right w:val="single" w:sz="4" w:space="0" w:color="auto"/>
            </w:tcBorders>
            <w:shd w:val="clear" w:color="auto" w:fill="FFFFFF"/>
          </w:tcPr>
          <w:p w:rsidR="007F2E4C" w:rsidRPr="00CA6B07" w:rsidRDefault="007F2E4C">
            <w:pPr>
              <w:framePr w:w="9710" w:wrap="notBeside" w:vAnchor="text" w:hAnchor="text" w:xAlign="center" w:y="1"/>
            </w:pPr>
          </w:p>
        </w:tc>
      </w:tr>
      <w:tr w:rsidR="007F2E4C" w:rsidRPr="00CA6B07">
        <w:trPr>
          <w:trHeight w:hRule="exact" w:val="1061"/>
          <w:jc w:val="center"/>
        </w:trPr>
        <w:tc>
          <w:tcPr>
            <w:tcW w:w="4978" w:type="dxa"/>
            <w:tcBorders>
              <w:top w:val="single" w:sz="4" w:space="0" w:color="auto"/>
              <w:left w:val="single" w:sz="4" w:space="0" w:color="auto"/>
              <w:bottom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220" w:lineRule="exact"/>
              <w:ind w:left="300"/>
              <w:rPr>
                <w:sz w:val="24"/>
                <w:szCs w:val="24"/>
              </w:rPr>
            </w:pPr>
            <w:r w:rsidRPr="00CA6B07">
              <w:rPr>
                <w:rStyle w:val="Gvdemetni7"/>
                <w:sz w:val="24"/>
                <w:szCs w:val="24"/>
              </w:rPr>
              <w:t>Date and number of the power of attorney</w:t>
            </w:r>
          </w:p>
        </w:tc>
        <w:tc>
          <w:tcPr>
            <w:tcW w:w="4733" w:type="dxa"/>
            <w:tcBorders>
              <w:top w:val="single" w:sz="4" w:space="0" w:color="auto"/>
              <w:left w:val="single" w:sz="4" w:space="0" w:color="auto"/>
              <w:bottom w:val="single" w:sz="4" w:space="0" w:color="auto"/>
              <w:right w:val="single" w:sz="4" w:space="0" w:color="auto"/>
            </w:tcBorders>
            <w:shd w:val="clear" w:color="auto" w:fill="FFFFFF"/>
          </w:tcPr>
          <w:p w:rsidR="007F2E4C" w:rsidRPr="00CA6B07" w:rsidRDefault="007F2E4C">
            <w:pPr>
              <w:framePr w:w="9710" w:wrap="notBeside" w:vAnchor="text" w:hAnchor="text" w:xAlign="center" w:y="1"/>
            </w:pPr>
          </w:p>
        </w:tc>
      </w:tr>
    </w:tbl>
    <w:p w:rsidR="007F2E4C" w:rsidRPr="00CA6B07" w:rsidRDefault="007F2E4C">
      <w:pPr>
        <w:spacing w:line="78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78"/>
        <w:gridCol w:w="4733"/>
      </w:tblGrid>
      <w:tr w:rsidR="007F2E4C" w:rsidRPr="00CA6B07">
        <w:trPr>
          <w:trHeight w:hRule="exact" w:val="576"/>
          <w:jc w:val="center"/>
        </w:trPr>
        <w:tc>
          <w:tcPr>
            <w:tcW w:w="9711" w:type="dxa"/>
            <w:gridSpan w:val="2"/>
            <w:tcBorders>
              <w:top w:val="single" w:sz="4" w:space="0" w:color="auto"/>
              <w:left w:val="single" w:sz="4" w:space="0" w:color="auto"/>
              <w:right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230" w:lineRule="exact"/>
              <w:jc w:val="center"/>
              <w:rPr>
                <w:sz w:val="24"/>
                <w:szCs w:val="24"/>
              </w:rPr>
            </w:pPr>
            <w:r w:rsidRPr="00CA6B07">
              <w:rPr>
                <w:rStyle w:val="Gvdemetni115ptKaln0"/>
                <w:sz w:val="24"/>
                <w:szCs w:val="24"/>
              </w:rPr>
              <w:t>PROXY’S</w:t>
            </w:r>
          </w:p>
        </w:tc>
      </w:tr>
      <w:tr w:rsidR="007F2E4C" w:rsidRPr="00CA6B07">
        <w:trPr>
          <w:trHeight w:hRule="exact" w:val="557"/>
          <w:jc w:val="center"/>
        </w:trPr>
        <w:tc>
          <w:tcPr>
            <w:tcW w:w="4978" w:type="dxa"/>
            <w:tcBorders>
              <w:top w:val="single" w:sz="4" w:space="0" w:color="auto"/>
              <w:left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220" w:lineRule="exact"/>
              <w:ind w:left="300"/>
              <w:rPr>
                <w:sz w:val="24"/>
                <w:szCs w:val="24"/>
              </w:rPr>
            </w:pPr>
            <w:r w:rsidRPr="00CA6B07">
              <w:rPr>
                <w:rStyle w:val="Gvdemetni7"/>
                <w:sz w:val="24"/>
                <w:szCs w:val="24"/>
              </w:rPr>
              <w:t>Name - Surname</w:t>
            </w:r>
          </w:p>
        </w:tc>
        <w:tc>
          <w:tcPr>
            <w:tcW w:w="4733" w:type="dxa"/>
            <w:tcBorders>
              <w:top w:val="single" w:sz="4" w:space="0" w:color="auto"/>
              <w:left w:val="single" w:sz="4" w:space="0" w:color="auto"/>
              <w:right w:val="single" w:sz="4" w:space="0" w:color="auto"/>
            </w:tcBorders>
            <w:shd w:val="clear" w:color="auto" w:fill="FFFFFF"/>
          </w:tcPr>
          <w:p w:rsidR="007F2E4C" w:rsidRPr="00CA6B07" w:rsidRDefault="007F2E4C">
            <w:pPr>
              <w:framePr w:w="9710" w:wrap="notBeside" w:vAnchor="text" w:hAnchor="text" w:xAlign="center" w:y="1"/>
            </w:pPr>
          </w:p>
        </w:tc>
      </w:tr>
      <w:tr w:rsidR="007F2E4C" w:rsidRPr="00CA6B07">
        <w:trPr>
          <w:trHeight w:hRule="exact" w:val="1061"/>
          <w:jc w:val="center"/>
        </w:trPr>
        <w:tc>
          <w:tcPr>
            <w:tcW w:w="4978" w:type="dxa"/>
            <w:tcBorders>
              <w:top w:val="single" w:sz="4" w:space="0" w:color="auto"/>
              <w:left w:val="single" w:sz="4" w:space="0" w:color="auto"/>
              <w:bottom w:val="single" w:sz="4" w:space="0" w:color="auto"/>
            </w:tcBorders>
            <w:shd w:val="clear" w:color="auto" w:fill="FFFFFF"/>
          </w:tcPr>
          <w:p w:rsidR="007F2E4C" w:rsidRPr="00CA6B07" w:rsidRDefault="00E539EF">
            <w:pPr>
              <w:pStyle w:val="Gvdemetni0"/>
              <w:framePr w:w="9710" w:wrap="notBeside" w:vAnchor="text" w:hAnchor="text" w:xAlign="center" w:y="1"/>
              <w:shd w:val="clear" w:color="auto" w:fill="auto"/>
              <w:spacing w:before="0" w:after="0" w:line="220" w:lineRule="exact"/>
              <w:ind w:left="300"/>
              <w:rPr>
                <w:sz w:val="24"/>
                <w:szCs w:val="24"/>
              </w:rPr>
            </w:pPr>
            <w:r w:rsidRPr="00CA6B07">
              <w:rPr>
                <w:rStyle w:val="Gvdemetni7"/>
                <w:sz w:val="24"/>
                <w:szCs w:val="24"/>
              </w:rPr>
              <w:t>Address in Turkey</w:t>
            </w:r>
          </w:p>
        </w:tc>
        <w:tc>
          <w:tcPr>
            <w:tcW w:w="4733" w:type="dxa"/>
            <w:tcBorders>
              <w:top w:val="single" w:sz="4" w:space="0" w:color="auto"/>
              <w:left w:val="single" w:sz="4" w:space="0" w:color="auto"/>
              <w:bottom w:val="single" w:sz="4" w:space="0" w:color="auto"/>
              <w:right w:val="single" w:sz="4" w:space="0" w:color="auto"/>
            </w:tcBorders>
            <w:shd w:val="clear" w:color="auto" w:fill="FFFFFF"/>
          </w:tcPr>
          <w:p w:rsidR="007F2E4C" w:rsidRPr="00CA6B07" w:rsidRDefault="007F2E4C">
            <w:pPr>
              <w:framePr w:w="9710" w:wrap="notBeside" w:vAnchor="text" w:hAnchor="text" w:xAlign="center" w:y="1"/>
            </w:pPr>
          </w:p>
        </w:tc>
      </w:tr>
    </w:tbl>
    <w:p w:rsidR="007F2E4C" w:rsidRPr="00CA6B07" w:rsidRDefault="007F2E4C"/>
    <w:p w:rsidR="007F2E4C" w:rsidRPr="00CA6B07" w:rsidRDefault="007F2E4C"/>
    <w:sectPr w:rsidR="007F2E4C" w:rsidRPr="00CA6B07">
      <w:headerReference w:type="default" r:id="rId8"/>
      <w:footerReference w:type="default" r:id="rId9"/>
      <w:type w:val="continuous"/>
      <w:pgSz w:w="11909" w:h="16838"/>
      <w:pgMar w:top="573" w:right="948" w:bottom="559" w:left="10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3F7" w:rsidRDefault="00C633F7">
      <w:r>
        <w:separator/>
      </w:r>
    </w:p>
  </w:endnote>
  <w:endnote w:type="continuationSeparator" w:id="0">
    <w:p w:rsidR="00C633F7" w:rsidRDefault="00C6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lfaen">
    <w:panose1 w:val="010A0502050306030303"/>
    <w:charset w:val="A2"/>
    <w:family w:val="roman"/>
    <w:pitch w:val="variable"/>
    <w:sig w:usb0="040006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F2B" w:rsidRDefault="00FA6F2B" w:rsidP="00FA6F2B">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89"/>
      <w:gridCol w:w="8899"/>
    </w:tblGrid>
    <w:tr w:rsidR="00FA6F2B" w:rsidRPr="006B23AD" w:rsidTr="00A9472E">
      <w:trPr>
        <w:trHeight w:val="344"/>
      </w:trPr>
      <w:tc>
        <w:tcPr>
          <w:tcW w:w="500" w:type="pct"/>
          <w:tcBorders>
            <w:top w:val="single" w:sz="4" w:space="0" w:color="943634"/>
          </w:tcBorders>
          <w:shd w:val="clear" w:color="auto" w:fill="943634"/>
        </w:tcPr>
        <w:p w:rsidR="00FA6F2B" w:rsidRPr="006B23AD" w:rsidRDefault="00FA6F2B" w:rsidP="00FA6F2B">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00AA143F" w:rsidRPr="00AA143F">
            <w:rPr>
              <w:noProof/>
              <w:color w:val="FFFFFF"/>
            </w:rPr>
            <w:t>1</w:t>
          </w:r>
          <w:r w:rsidRPr="006B23AD">
            <w:rPr>
              <w:color w:val="FFFFFF"/>
            </w:rPr>
            <w:fldChar w:fldCharType="end"/>
          </w:r>
        </w:p>
      </w:tc>
      <w:tc>
        <w:tcPr>
          <w:tcW w:w="4500" w:type="pct"/>
          <w:tcBorders>
            <w:top w:val="single" w:sz="4" w:space="0" w:color="auto"/>
          </w:tcBorders>
        </w:tcPr>
        <w:p w:rsidR="00FA6F2B" w:rsidRPr="006B23AD" w:rsidRDefault="00FA6F2B" w:rsidP="00FA6F2B">
          <w:pPr>
            <w:pStyle w:val="Footer"/>
            <w:rPr>
              <w:rFonts w:ascii="Bookman Old Style" w:hAnsi="Bookman Old Style"/>
            </w:rPr>
          </w:pPr>
          <w:r>
            <w:rPr>
              <w:rFonts w:ascii="Bookman Old Style" w:hAnsi="Bookman Old Style"/>
              <w:b/>
              <w:sz w:val="18"/>
              <w:szCs w:val="16"/>
            </w:rPr>
            <w:t>80 SW 8</w:t>
          </w:r>
          <w:r w:rsidRPr="000D3017">
            <w:rPr>
              <w:rFonts w:ascii="Bookman Old Style" w:hAnsi="Bookman Old Style"/>
              <w:b/>
              <w:sz w:val="18"/>
              <w:szCs w:val="16"/>
              <w:vertAlign w:val="superscript"/>
            </w:rPr>
            <w:t>TH</w:t>
          </w:r>
          <w:r>
            <w:rPr>
              <w:rFonts w:ascii="Bookman Old Style" w:hAnsi="Bookman Old Style"/>
              <w:b/>
              <w:sz w:val="18"/>
              <w:szCs w:val="16"/>
            </w:rPr>
            <w:t xml:space="preserve"> STREET SUITE 2700</w:t>
          </w:r>
          <w:r w:rsidRPr="006B23AD">
            <w:rPr>
              <w:rFonts w:ascii="Bookman Old Style" w:hAnsi="Bookman Old Style"/>
              <w:b/>
              <w:sz w:val="18"/>
              <w:szCs w:val="16"/>
            </w:rPr>
            <w:t xml:space="preserve">, </w:t>
          </w:r>
          <w:r>
            <w:rPr>
              <w:rFonts w:ascii="Bookman Old Style" w:hAnsi="Bookman Old Style"/>
              <w:b/>
              <w:sz w:val="18"/>
              <w:szCs w:val="16"/>
            </w:rPr>
            <w:t>Miami</w:t>
          </w:r>
          <w:r w:rsidRPr="006B23AD">
            <w:rPr>
              <w:rFonts w:ascii="Bookman Old Style" w:hAnsi="Bookman Old Style"/>
              <w:b/>
              <w:sz w:val="18"/>
              <w:szCs w:val="16"/>
            </w:rPr>
            <w:t xml:space="preserve">, </w:t>
          </w:r>
          <w:r>
            <w:rPr>
              <w:rFonts w:ascii="Bookman Old Style" w:hAnsi="Bookman Old Style"/>
              <w:b/>
              <w:sz w:val="18"/>
              <w:szCs w:val="16"/>
            </w:rPr>
            <w:t>FL</w:t>
          </w:r>
          <w:r w:rsidRPr="006B23AD">
            <w:rPr>
              <w:rFonts w:ascii="Bookman Old Style" w:hAnsi="Bookman Old Style"/>
              <w:b/>
              <w:sz w:val="18"/>
              <w:szCs w:val="16"/>
            </w:rPr>
            <w:t xml:space="preserve"> </w:t>
          </w:r>
          <w:r>
            <w:rPr>
              <w:rFonts w:ascii="Bookman Old Style" w:hAnsi="Bookman Old Style"/>
              <w:b/>
              <w:sz w:val="18"/>
              <w:szCs w:val="16"/>
            </w:rPr>
            <w:t>33130</w:t>
          </w:r>
          <w:r w:rsidRPr="006B23AD">
            <w:rPr>
              <w:rFonts w:ascii="Bookman Old Style" w:hAnsi="Bookman Old Style"/>
              <w:b/>
              <w:sz w:val="18"/>
              <w:szCs w:val="16"/>
            </w:rPr>
            <w:t xml:space="preserve">        Tel: (</w:t>
          </w:r>
          <w:r>
            <w:rPr>
              <w:rFonts w:ascii="Bookman Old Style" w:hAnsi="Bookman Old Style"/>
              <w:b/>
              <w:sz w:val="18"/>
              <w:szCs w:val="16"/>
            </w:rPr>
            <w:t>786</w:t>
          </w:r>
          <w:r w:rsidRPr="006B23AD">
            <w:rPr>
              <w:rFonts w:ascii="Bookman Old Style" w:hAnsi="Bookman Old Style"/>
              <w:b/>
              <w:sz w:val="18"/>
              <w:szCs w:val="16"/>
            </w:rPr>
            <w:t xml:space="preserve">) </w:t>
          </w:r>
          <w:r>
            <w:rPr>
              <w:rFonts w:ascii="Bookman Old Style" w:hAnsi="Bookman Old Style"/>
              <w:b/>
              <w:sz w:val="18"/>
              <w:szCs w:val="16"/>
            </w:rPr>
            <w:t>655</w:t>
          </w:r>
          <w:r w:rsidRPr="006B23AD">
            <w:rPr>
              <w:rFonts w:ascii="Bookman Old Style" w:hAnsi="Bookman Old Style"/>
              <w:b/>
              <w:sz w:val="18"/>
              <w:szCs w:val="16"/>
            </w:rPr>
            <w:t>-</w:t>
          </w:r>
          <w:r>
            <w:rPr>
              <w:rFonts w:ascii="Bookman Old Style" w:hAnsi="Bookman Old Style"/>
              <w:b/>
              <w:sz w:val="18"/>
              <w:szCs w:val="16"/>
            </w:rPr>
            <w:t>0315</w:t>
          </w:r>
          <w:r w:rsidRPr="006B23AD">
            <w:rPr>
              <w:rFonts w:ascii="Bookman Old Style" w:hAnsi="Bookman Old Style"/>
              <w:b/>
              <w:sz w:val="18"/>
              <w:szCs w:val="16"/>
            </w:rPr>
            <w:t xml:space="preserve"> consulate.</w:t>
          </w:r>
          <w:r>
            <w:rPr>
              <w:rFonts w:ascii="Bookman Old Style" w:hAnsi="Bookman Old Style"/>
              <w:b/>
              <w:sz w:val="18"/>
              <w:szCs w:val="16"/>
            </w:rPr>
            <w:t>miami</w:t>
          </w:r>
          <w:r w:rsidRPr="006B23AD">
            <w:rPr>
              <w:rFonts w:ascii="Bookman Old Style" w:hAnsi="Bookman Old Style"/>
              <w:b/>
              <w:sz w:val="18"/>
              <w:szCs w:val="16"/>
            </w:rPr>
            <w:t>@mfa.gov.tr</w:t>
          </w:r>
        </w:p>
      </w:tc>
    </w:tr>
  </w:tbl>
  <w:p w:rsidR="00FA6F2B" w:rsidRDefault="00FA6F2B" w:rsidP="00FA6F2B">
    <w:pPr>
      <w:pStyle w:val="Footer"/>
    </w:pPr>
  </w:p>
  <w:p w:rsidR="00FA6F2B" w:rsidRDefault="00FA6F2B" w:rsidP="00FA6F2B">
    <w:pPr>
      <w:pStyle w:val="Footer"/>
    </w:pPr>
  </w:p>
  <w:p w:rsidR="00FA6F2B" w:rsidRDefault="00FA6F2B" w:rsidP="00FA6F2B">
    <w:pPr>
      <w:rPr>
        <w:sz w:val="2"/>
        <w:szCs w:val="2"/>
      </w:rPr>
    </w:pPr>
  </w:p>
  <w:p w:rsidR="00FA6F2B" w:rsidRDefault="00FA6F2B" w:rsidP="00FA6F2B">
    <w:pPr>
      <w:pStyle w:val="Footer"/>
    </w:pPr>
  </w:p>
  <w:p w:rsidR="00FA6F2B" w:rsidRDefault="00FA6F2B" w:rsidP="00FA6F2B">
    <w:pPr>
      <w:rPr>
        <w:sz w:val="2"/>
        <w:szCs w:val="2"/>
      </w:rPr>
    </w:pPr>
  </w:p>
  <w:p w:rsidR="00FA6F2B" w:rsidRDefault="00FA6F2B">
    <w:pPr>
      <w:pStyle w:val="Footer"/>
    </w:pPr>
  </w:p>
  <w:p w:rsidR="007F2E4C" w:rsidRDefault="007F2E4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3F7" w:rsidRDefault="00C633F7"/>
  </w:footnote>
  <w:footnote w:type="continuationSeparator" w:id="0">
    <w:p w:rsidR="00C633F7" w:rsidRDefault="00C633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F2B" w:rsidRDefault="00FA6F2B" w:rsidP="00FA6F2B">
    <w:pPr>
      <w:pStyle w:val="Header"/>
    </w:pPr>
  </w:p>
  <w:tbl>
    <w:tblPr>
      <w:tblW w:w="5964" w:type="pct"/>
      <w:tblCellMar>
        <w:top w:w="72" w:type="dxa"/>
        <w:left w:w="115" w:type="dxa"/>
        <w:bottom w:w="72" w:type="dxa"/>
        <w:right w:w="115" w:type="dxa"/>
      </w:tblCellMar>
      <w:tblLook w:val="04A0" w:firstRow="1" w:lastRow="0" w:firstColumn="1" w:lastColumn="0" w:noHBand="0" w:noVBand="1"/>
    </w:tblPr>
    <w:tblGrid>
      <w:gridCol w:w="7"/>
      <w:gridCol w:w="1071"/>
      <w:gridCol w:w="3062"/>
      <w:gridCol w:w="2781"/>
      <w:gridCol w:w="2967"/>
      <w:gridCol w:w="1906"/>
    </w:tblGrid>
    <w:tr w:rsidR="00FA6F2B" w:rsidRPr="006B23AD" w:rsidTr="00A9472E">
      <w:trPr>
        <w:gridAfter w:val="1"/>
        <w:wAfter w:w="808" w:type="pct"/>
      </w:trPr>
      <w:tc>
        <w:tcPr>
          <w:tcW w:w="2934" w:type="pct"/>
          <w:gridSpan w:val="4"/>
          <w:tcBorders>
            <w:bottom w:val="single" w:sz="4" w:space="0" w:color="auto"/>
          </w:tcBorders>
          <w:vAlign w:val="bottom"/>
        </w:tcPr>
        <w:p w:rsidR="00FA6F2B" w:rsidRPr="006B23AD" w:rsidRDefault="00FA6F2B" w:rsidP="00FA6F2B">
          <w:pPr>
            <w:pStyle w:val="Header"/>
            <w:jc w:val="right"/>
            <w:rPr>
              <w:color w:val="76923C"/>
            </w:rPr>
          </w:pPr>
          <w:r w:rsidRPr="006C41FF">
            <w:rPr>
              <w:rFonts w:ascii="Garamond" w:eastAsia="FangSong" w:hAnsi="Garamond" w:cs="David"/>
              <w:b/>
              <w:bCs/>
              <w:caps/>
            </w:rPr>
            <w:t xml:space="preserve">T.C. </w:t>
          </w:r>
          <w:r>
            <w:rPr>
              <w:rFonts w:ascii="Garamond" w:eastAsia="FangSong" w:hAnsi="Garamond" w:cs="David"/>
              <w:b/>
              <w:bCs/>
              <w:caps/>
            </w:rPr>
            <w:t>MİAMİ</w:t>
          </w:r>
          <w:r w:rsidRPr="006C41FF">
            <w:rPr>
              <w:rFonts w:ascii="Garamond" w:eastAsia="FangSong" w:hAnsi="Garamond" w:cs="David"/>
              <w:b/>
              <w:bCs/>
              <w:caps/>
            </w:rPr>
            <w:t xml:space="preserve"> BA</w:t>
          </w:r>
          <w:r w:rsidRPr="006C41FF">
            <w:rPr>
              <w:rFonts w:ascii="Garamond" w:eastAsia="MS Mincho" w:hAnsi="Garamond" w:cs="MS Mincho"/>
              <w:b/>
              <w:bCs/>
              <w:caps/>
            </w:rPr>
            <w:t>Ş</w:t>
          </w:r>
          <w:r w:rsidRPr="006C41FF">
            <w:rPr>
              <w:rFonts w:ascii="Garamond" w:eastAsia="FangSong" w:hAnsi="Garamond" w:cs="David"/>
              <w:b/>
              <w:bCs/>
              <w:caps/>
            </w:rPr>
            <w:t>KONSOLOSLU</w:t>
          </w:r>
          <w:r w:rsidRPr="006C41FF">
            <w:rPr>
              <w:rFonts w:ascii="Garamond" w:eastAsia="MS Mincho" w:hAnsi="Garamond" w:cs="MS Mincho"/>
              <w:b/>
              <w:bCs/>
              <w:caps/>
            </w:rPr>
            <w:t>Ğ</w:t>
          </w:r>
          <w:r w:rsidRPr="006C41FF">
            <w:rPr>
              <w:rFonts w:ascii="Garamond" w:eastAsia="FangSong" w:hAnsi="Garamond" w:cs="David"/>
              <w:b/>
              <w:bCs/>
              <w:caps/>
            </w:rPr>
            <w:t>U</w:t>
          </w:r>
        </w:p>
      </w:tc>
      <w:tc>
        <w:tcPr>
          <w:tcW w:w="1258" w:type="pct"/>
          <w:tcBorders>
            <w:bottom w:val="single" w:sz="4" w:space="0" w:color="943634"/>
          </w:tcBorders>
          <w:shd w:val="clear" w:color="auto" w:fill="943634"/>
          <w:vAlign w:val="bottom"/>
        </w:tcPr>
        <w:p w:rsidR="00FA6F2B" w:rsidRPr="006B23AD" w:rsidRDefault="005C1207" w:rsidP="00FA6F2B">
          <w:pPr>
            <w:pStyle w:val="Header"/>
            <w:rPr>
              <w:color w:val="FFFFFF"/>
            </w:rPr>
          </w:pPr>
          <w:r>
            <w:rPr>
              <w:rFonts w:ascii="Garamond" w:hAnsi="Garamond"/>
              <w:color w:val="FFFFFF"/>
            </w:rPr>
            <w:t>2019</w:t>
          </w:r>
        </w:p>
      </w:tc>
    </w:tr>
    <w:tr w:rsidR="00FA6F2B" w:rsidTr="00A9472E">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FA6F2B" w:rsidRDefault="00FA6F2B" w:rsidP="00FA6F2B">
          <w:pPr>
            <w:pStyle w:val="Header"/>
            <w:spacing w:line="320" w:lineRule="exact"/>
            <w:rPr>
              <w:rFonts w:ascii="Verdana" w:hAnsi="Verdana"/>
              <w:b/>
              <w:sz w:val="18"/>
              <w:szCs w:val="18"/>
            </w:rPr>
          </w:pPr>
        </w:p>
      </w:tc>
      <w:tc>
        <w:tcPr>
          <w:tcW w:w="1298" w:type="pct"/>
        </w:tcPr>
        <w:p w:rsidR="00FA6F2B" w:rsidRDefault="00FA6F2B" w:rsidP="00FA6F2B">
          <w:pPr>
            <w:pStyle w:val="Header"/>
            <w:spacing w:line="260" w:lineRule="exact"/>
            <w:rPr>
              <w:rFonts w:ascii="Arial" w:hAnsi="Arial" w:cs="Arial"/>
              <w:b/>
              <w:sz w:val="18"/>
              <w:szCs w:val="18"/>
            </w:rPr>
          </w:pPr>
        </w:p>
      </w:tc>
      <w:tc>
        <w:tcPr>
          <w:tcW w:w="3245" w:type="pct"/>
          <w:gridSpan w:val="3"/>
        </w:tcPr>
        <w:p w:rsidR="00FA6F2B" w:rsidRDefault="00FA6F2B" w:rsidP="00FA6F2B">
          <w:pPr>
            <w:pStyle w:val="Header"/>
            <w:tabs>
              <w:tab w:val="left" w:pos="1744"/>
              <w:tab w:val="right" w:pos="6264"/>
            </w:tabs>
            <w:spacing w:line="260" w:lineRule="exact"/>
            <w:rPr>
              <w:rFonts w:ascii="Arial Black" w:hAnsi="Arial Black" w:cs="Tahoma"/>
              <w:b/>
              <w:sz w:val="28"/>
              <w:szCs w:val="28"/>
            </w:rPr>
          </w:pPr>
        </w:p>
      </w:tc>
    </w:tr>
  </w:tbl>
  <w:p w:rsidR="00FA6F2B" w:rsidRDefault="00FA6F2B" w:rsidP="00FA6F2B">
    <w:pPr>
      <w:pStyle w:val="Header"/>
    </w:pPr>
  </w:p>
  <w:p w:rsidR="00FA6F2B" w:rsidRDefault="00FA6F2B" w:rsidP="00FA6F2B">
    <w:pPr>
      <w:pStyle w:val="Header"/>
    </w:pPr>
  </w:p>
  <w:p w:rsidR="00FA6F2B" w:rsidRDefault="00FA6F2B">
    <w:pPr>
      <w:pStyle w:val="Header"/>
    </w:pPr>
  </w:p>
  <w:p w:rsidR="00FA6F2B" w:rsidRDefault="00FA6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406F08"/>
    <w:multiLevelType w:val="multilevel"/>
    <w:tmpl w:val="C4CA0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B8F7E8E"/>
    <w:multiLevelType w:val="multilevel"/>
    <w:tmpl w:val="D21ADE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4C"/>
    <w:rsid w:val="001E6DE0"/>
    <w:rsid w:val="005C1207"/>
    <w:rsid w:val="007048E0"/>
    <w:rsid w:val="007C6C9E"/>
    <w:rsid w:val="007F2E4C"/>
    <w:rsid w:val="00853E3A"/>
    <w:rsid w:val="00A041E5"/>
    <w:rsid w:val="00AA143F"/>
    <w:rsid w:val="00AA5092"/>
    <w:rsid w:val="00BF7167"/>
    <w:rsid w:val="00C633F7"/>
    <w:rsid w:val="00CA6B07"/>
    <w:rsid w:val="00CC0BC9"/>
    <w:rsid w:val="00CC36D8"/>
    <w:rsid w:val="00D111D3"/>
    <w:rsid w:val="00D33BE2"/>
    <w:rsid w:val="00E539EF"/>
    <w:rsid w:val="00FA6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A82F9"/>
  <w15:docId w15:val="{9BBE971D-9FF3-4860-8F22-A36397C7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Gvdemetni4Exact">
    <w:name w:val="Gövde metni (4) Exact"/>
    <w:basedOn w:val="DefaultParagraphFont"/>
    <w:link w:val="Gvdemetni4"/>
    <w:rPr>
      <w:rFonts w:ascii="Sylfaen" w:eastAsia="Sylfaen" w:hAnsi="Sylfaen" w:cs="Sylfaen"/>
      <w:b w:val="0"/>
      <w:bCs w:val="0"/>
      <w:i w:val="0"/>
      <w:iCs w:val="0"/>
      <w:smallCaps w:val="0"/>
      <w:strike w:val="0"/>
      <w:spacing w:val="6"/>
      <w:sz w:val="19"/>
      <w:szCs w:val="19"/>
      <w:u w:val="none"/>
    </w:rPr>
  </w:style>
  <w:style w:type="character" w:customStyle="1" w:styleId="Gvdemetni4Exact0">
    <w:name w:val="Gövde metni (4) Exact"/>
    <w:basedOn w:val="Gvdemetni4Exact"/>
    <w:rPr>
      <w:rFonts w:ascii="Sylfaen" w:eastAsia="Sylfaen" w:hAnsi="Sylfaen" w:cs="Sylfaen"/>
      <w:b w:val="0"/>
      <w:bCs w:val="0"/>
      <w:i w:val="0"/>
      <w:iCs w:val="0"/>
      <w:smallCaps w:val="0"/>
      <w:strike w:val="0"/>
      <w:color w:val="FFFFFF"/>
      <w:spacing w:val="6"/>
      <w:w w:val="100"/>
      <w:position w:val="0"/>
      <w:sz w:val="19"/>
      <w:szCs w:val="19"/>
      <w:u w:val="none"/>
      <w:lang w:val="en-US"/>
    </w:rPr>
  </w:style>
  <w:style w:type="character" w:customStyle="1" w:styleId="Gvdemetni2">
    <w:name w:val="Gövde metni (2)_"/>
    <w:basedOn w:val="DefaultParagraphFont"/>
    <w:link w:val="Gvdemetni20"/>
    <w:rPr>
      <w:rFonts w:ascii="Times New Roman" w:eastAsia="Times New Roman" w:hAnsi="Times New Roman" w:cs="Times New Roman"/>
      <w:b/>
      <w:bCs/>
      <w:i w:val="0"/>
      <w:iCs w:val="0"/>
      <w:smallCaps w:val="0"/>
      <w:strike w:val="0"/>
      <w:sz w:val="23"/>
      <w:szCs w:val="23"/>
      <w:u w:val="none"/>
    </w:rPr>
  </w:style>
  <w:style w:type="character" w:customStyle="1" w:styleId="stbilgiveyaaltbilgi">
    <w:name w:val="Üst bilgi veya alt bilgi_"/>
    <w:basedOn w:val="DefaultParagraphFont"/>
    <w:link w:val="stbilgiveyaaltbilgi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1">
    <w:name w:val="Üst bilgi veya alt bilgi"/>
    <w:basedOn w:val="stbilgiveyaaltbilgi"/>
    <w:rPr>
      <w:rFonts w:ascii="Times New Roman" w:eastAsia="Times New Roman" w:hAnsi="Times New Roman" w:cs="Times New Roman"/>
      <w:b w:val="0"/>
      <w:bCs w:val="0"/>
      <w:i w:val="0"/>
      <w:iCs w:val="0"/>
      <w:smallCaps w:val="0"/>
      <w:strike w:val="0"/>
      <w:color w:val="FFFFFF"/>
      <w:spacing w:val="0"/>
      <w:w w:val="100"/>
      <w:position w:val="0"/>
      <w:sz w:val="22"/>
      <w:szCs w:val="22"/>
      <w:u w:val="none"/>
    </w:rPr>
  </w:style>
  <w:style w:type="character" w:customStyle="1" w:styleId="Balk1">
    <w:name w:val="Başlık #1_"/>
    <w:basedOn w:val="DefaultParagraphFont"/>
    <w:link w:val="Balk10"/>
    <w:rPr>
      <w:rFonts w:ascii="Times New Roman" w:eastAsia="Times New Roman" w:hAnsi="Times New Roman" w:cs="Times New Roman"/>
      <w:b/>
      <w:bCs/>
      <w:i w:val="0"/>
      <w:iCs w:val="0"/>
      <w:smallCaps w:val="0"/>
      <w:strike w:val="0"/>
      <w:sz w:val="23"/>
      <w:szCs w:val="23"/>
      <w:u w:val="none"/>
    </w:rPr>
  </w:style>
  <w:style w:type="character" w:customStyle="1" w:styleId="Gvdemetni">
    <w:name w:val="Gövde metni_"/>
    <w:basedOn w:val="DefaultParagraphFont"/>
    <w:link w:val="Gvdemetni0"/>
    <w:rPr>
      <w:rFonts w:ascii="Times New Roman" w:eastAsia="Times New Roman" w:hAnsi="Times New Roman" w:cs="Times New Roman"/>
      <w:b w:val="0"/>
      <w:bCs w:val="0"/>
      <w:i w:val="0"/>
      <w:iCs w:val="0"/>
      <w:smallCaps w:val="0"/>
      <w:strike w:val="0"/>
      <w:sz w:val="22"/>
      <w:szCs w:val="22"/>
      <w:u w:val="none"/>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Gvdemetni3">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Gvdemetni5">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Gvdemetni6">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Gvdemetni115ptKaln">
    <w:name w:val="Gövde metni + 11;5 pt;Kalın"/>
    <w:basedOn w:val="Gvdemetni"/>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Gvdemetni30">
    <w:name w:val="Gövde metni (3)_"/>
    <w:basedOn w:val="DefaultParagraphFont"/>
    <w:link w:val="Gvdemetni31"/>
    <w:rPr>
      <w:rFonts w:ascii="Sylfaen" w:eastAsia="Sylfaen" w:hAnsi="Sylfaen" w:cs="Sylfaen"/>
      <w:b w:val="0"/>
      <w:bCs w:val="0"/>
      <w:i w:val="0"/>
      <w:iCs w:val="0"/>
      <w:smallCaps w:val="0"/>
      <w:strike w:val="0"/>
      <w:sz w:val="19"/>
      <w:szCs w:val="19"/>
      <w:u w:val="none"/>
    </w:rPr>
  </w:style>
  <w:style w:type="character" w:customStyle="1" w:styleId="Gvdemetni50">
    <w:name w:val="Gövde metni (5)_"/>
    <w:basedOn w:val="DefaultParagraphFont"/>
    <w:link w:val="Gvdemetni51"/>
    <w:rPr>
      <w:rFonts w:ascii="Sylfaen" w:eastAsia="Sylfaen" w:hAnsi="Sylfaen" w:cs="Sylfaen"/>
      <w:b w:val="0"/>
      <w:bCs w:val="0"/>
      <w:i w:val="0"/>
      <w:iCs w:val="0"/>
      <w:smallCaps w:val="0"/>
      <w:strike w:val="0"/>
      <w:sz w:val="15"/>
      <w:szCs w:val="15"/>
      <w:u w:val="none"/>
    </w:rPr>
  </w:style>
  <w:style w:type="character" w:customStyle="1" w:styleId="Gvdemetni60">
    <w:name w:val="Gövde metni (6)_"/>
    <w:basedOn w:val="DefaultParagraphFont"/>
    <w:link w:val="Gvdemetni61"/>
    <w:rPr>
      <w:rFonts w:ascii="Times New Roman" w:eastAsia="Times New Roman" w:hAnsi="Times New Roman" w:cs="Times New Roman"/>
      <w:b/>
      <w:bCs/>
      <w:i w:val="0"/>
      <w:iCs w:val="0"/>
      <w:smallCaps w:val="0"/>
      <w:strike w:val="0"/>
      <w:sz w:val="23"/>
      <w:szCs w:val="23"/>
      <w:u w:val="none"/>
    </w:rPr>
  </w:style>
  <w:style w:type="character" w:customStyle="1" w:styleId="Gvdemetni115ptKaln0">
    <w:name w:val="Gövde metni + 11;5 pt;Kalın"/>
    <w:basedOn w:val="Gvdemetni"/>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Gvdemetni7">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paragraph" w:customStyle="1" w:styleId="Gvdemetni4">
    <w:name w:val="Gövde metni (4)"/>
    <w:basedOn w:val="Normal"/>
    <w:link w:val="Gvdemetni4Exact"/>
    <w:pPr>
      <w:shd w:val="clear" w:color="auto" w:fill="FFFFFF"/>
      <w:spacing w:line="0" w:lineRule="atLeast"/>
    </w:pPr>
    <w:rPr>
      <w:rFonts w:ascii="Sylfaen" w:eastAsia="Sylfaen" w:hAnsi="Sylfaen" w:cs="Sylfaen"/>
      <w:spacing w:val="6"/>
      <w:sz w:val="19"/>
      <w:szCs w:val="19"/>
    </w:rPr>
  </w:style>
  <w:style w:type="paragraph" w:customStyle="1" w:styleId="Gvdemetni20">
    <w:name w:val="Gövde metni (2)"/>
    <w:basedOn w:val="Normal"/>
    <w:link w:val="Gvdemetni2"/>
    <w:pPr>
      <w:shd w:val="clear" w:color="auto" w:fill="FFFFFF"/>
      <w:spacing w:after="420" w:line="0" w:lineRule="atLeast"/>
    </w:pPr>
    <w:rPr>
      <w:rFonts w:ascii="Times New Roman" w:eastAsia="Times New Roman" w:hAnsi="Times New Roman" w:cs="Times New Roman"/>
      <w:b/>
      <w:bCs/>
      <w:sz w:val="23"/>
      <w:szCs w:val="23"/>
    </w:rPr>
  </w:style>
  <w:style w:type="paragraph" w:customStyle="1" w:styleId="stbilgiveyaaltbilgi0">
    <w:name w:val="Üst bilgi veya alt bilgi"/>
    <w:basedOn w:val="Normal"/>
    <w:link w:val="stbilgiveyaaltbilgi"/>
    <w:pPr>
      <w:shd w:val="clear" w:color="auto" w:fill="FFFFFF"/>
      <w:spacing w:line="0" w:lineRule="atLeast"/>
    </w:pPr>
    <w:rPr>
      <w:rFonts w:ascii="Times New Roman" w:eastAsia="Times New Roman" w:hAnsi="Times New Roman" w:cs="Times New Roman"/>
      <w:sz w:val="22"/>
      <w:szCs w:val="22"/>
    </w:rPr>
  </w:style>
  <w:style w:type="paragraph" w:customStyle="1" w:styleId="Balk10">
    <w:name w:val="Başlık #1"/>
    <w:basedOn w:val="Normal"/>
    <w:link w:val="Balk1"/>
    <w:pPr>
      <w:shd w:val="clear" w:color="auto" w:fill="FFFFFF"/>
      <w:spacing w:before="420" w:after="360" w:line="0" w:lineRule="atLeast"/>
      <w:outlineLvl w:val="0"/>
    </w:pPr>
    <w:rPr>
      <w:rFonts w:ascii="Times New Roman" w:eastAsia="Times New Roman" w:hAnsi="Times New Roman" w:cs="Times New Roman"/>
      <w:b/>
      <w:bCs/>
      <w:sz w:val="23"/>
      <w:szCs w:val="23"/>
    </w:rPr>
  </w:style>
  <w:style w:type="paragraph" w:customStyle="1" w:styleId="Gvdemetni0">
    <w:name w:val="Gövde metni"/>
    <w:basedOn w:val="Normal"/>
    <w:link w:val="Gvdemetni"/>
    <w:pPr>
      <w:shd w:val="clear" w:color="auto" w:fill="FFFFFF"/>
      <w:spacing w:before="360" w:after="240" w:line="293" w:lineRule="exact"/>
    </w:pPr>
    <w:rPr>
      <w:rFonts w:ascii="Times New Roman" w:eastAsia="Times New Roman" w:hAnsi="Times New Roman" w:cs="Times New Roman"/>
      <w:sz w:val="22"/>
      <w:szCs w:val="22"/>
    </w:rPr>
  </w:style>
  <w:style w:type="paragraph" w:customStyle="1" w:styleId="Gvdemetni31">
    <w:name w:val="Gövde metni (3)"/>
    <w:basedOn w:val="Normal"/>
    <w:link w:val="Gvdemetni30"/>
    <w:pPr>
      <w:shd w:val="clear" w:color="auto" w:fill="FFFFFF"/>
      <w:spacing w:before="4440" w:line="211" w:lineRule="exact"/>
    </w:pPr>
    <w:rPr>
      <w:rFonts w:ascii="Sylfaen" w:eastAsia="Sylfaen" w:hAnsi="Sylfaen" w:cs="Sylfaen"/>
      <w:sz w:val="19"/>
      <w:szCs w:val="19"/>
    </w:rPr>
  </w:style>
  <w:style w:type="paragraph" w:customStyle="1" w:styleId="Gvdemetni51">
    <w:name w:val="Gövde metni (5)"/>
    <w:basedOn w:val="Normal"/>
    <w:link w:val="Gvdemetni50"/>
    <w:pPr>
      <w:shd w:val="clear" w:color="auto" w:fill="FFFFFF"/>
      <w:spacing w:after="300" w:line="0" w:lineRule="atLeast"/>
      <w:jc w:val="center"/>
    </w:pPr>
    <w:rPr>
      <w:rFonts w:ascii="Sylfaen" w:eastAsia="Sylfaen" w:hAnsi="Sylfaen" w:cs="Sylfaen"/>
      <w:sz w:val="15"/>
      <w:szCs w:val="15"/>
    </w:rPr>
  </w:style>
  <w:style w:type="paragraph" w:customStyle="1" w:styleId="Gvdemetni61">
    <w:name w:val="Gövde metni (6)"/>
    <w:basedOn w:val="Normal"/>
    <w:link w:val="Gvdemetni60"/>
    <w:pPr>
      <w:shd w:val="clear" w:color="auto" w:fill="FFFFFF"/>
      <w:spacing w:before="300" w:after="300" w:line="0" w:lineRule="atLeast"/>
      <w:jc w:val="center"/>
    </w:pPr>
    <w:rPr>
      <w:rFonts w:ascii="Times New Roman" w:eastAsia="Times New Roman" w:hAnsi="Times New Roman" w:cs="Times New Roman"/>
      <w:b/>
      <w:bCs/>
      <w:sz w:val="23"/>
      <w:szCs w:val="23"/>
    </w:rPr>
  </w:style>
  <w:style w:type="paragraph" w:styleId="Header">
    <w:name w:val="header"/>
    <w:basedOn w:val="Normal"/>
    <w:link w:val="HeaderChar"/>
    <w:unhideWhenUsed/>
    <w:rsid w:val="00FA6F2B"/>
    <w:pPr>
      <w:tabs>
        <w:tab w:val="center" w:pos="4536"/>
        <w:tab w:val="right" w:pos="9072"/>
      </w:tabs>
    </w:pPr>
  </w:style>
  <w:style w:type="character" w:customStyle="1" w:styleId="HeaderChar">
    <w:name w:val="Header Char"/>
    <w:basedOn w:val="DefaultParagraphFont"/>
    <w:link w:val="Header"/>
    <w:rsid w:val="00FA6F2B"/>
    <w:rPr>
      <w:color w:val="000000"/>
    </w:rPr>
  </w:style>
  <w:style w:type="paragraph" w:styleId="Footer">
    <w:name w:val="footer"/>
    <w:basedOn w:val="Normal"/>
    <w:link w:val="FooterChar"/>
    <w:uiPriority w:val="99"/>
    <w:unhideWhenUsed/>
    <w:rsid w:val="00FA6F2B"/>
    <w:pPr>
      <w:tabs>
        <w:tab w:val="center" w:pos="4536"/>
        <w:tab w:val="right" w:pos="9072"/>
      </w:tabs>
    </w:pPr>
  </w:style>
  <w:style w:type="character" w:customStyle="1" w:styleId="FooterChar">
    <w:name w:val="Footer Char"/>
    <w:basedOn w:val="DefaultParagraphFont"/>
    <w:link w:val="Footer"/>
    <w:uiPriority w:val="99"/>
    <w:rsid w:val="00FA6F2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sulate.miami@mf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2</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turkısh consulate general ın new york</dc:title>
  <dc:subject/>
  <dc:creator>Ertuğrul Kaya</dc:creator>
  <cp:keywords/>
  <cp:lastModifiedBy>Ertuğrul Kaya</cp:lastModifiedBy>
  <cp:revision>13</cp:revision>
  <dcterms:created xsi:type="dcterms:W3CDTF">2016-02-03T03:00:00Z</dcterms:created>
  <dcterms:modified xsi:type="dcterms:W3CDTF">2020-01-02T14:05:00Z</dcterms:modified>
</cp:coreProperties>
</file>